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C75EA" w:rsidRPr="00A143CB" w14:paraId="2B8A03C7" w14:textId="77777777" w:rsidTr="00F55008">
        <w:tc>
          <w:tcPr>
            <w:tcW w:w="9962" w:type="dxa"/>
          </w:tcPr>
          <w:p w14:paraId="3449C847" w14:textId="77777777" w:rsidR="00BC75EA" w:rsidRPr="006514FA" w:rsidRDefault="00BC75EA" w:rsidP="00F55008">
            <w:pPr>
              <w:adjustRightInd w:val="0"/>
              <w:rPr>
                <w:rFonts w:cstheme="minorHAnsi"/>
                <w:b/>
                <w:bCs/>
                <w:color w:val="16181B"/>
              </w:rPr>
            </w:pPr>
            <w:r w:rsidRPr="00A143CB">
              <w:rPr>
                <w:rFonts w:cstheme="minorHAnsi"/>
                <w:color w:val="16181B"/>
              </w:rPr>
              <w:t>Allegato</w:t>
            </w:r>
            <w:r>
              <w:rPr>
                <w:rFonts w:cstheme="minorHAnsi"/>
                <w:b/>
                <w:bCs/>
                <w:color w:val="16181B"/>
              </w:rPr>
              <w:t xml:space="preserve"> I </w:t>
            </w:r>
            <w:r w:rsidRPr="006514FA">
              <w:rPr>
                <w:rFonts w:cstheme="minorHAnsi"/>
                <w:b/>
                <w:bCs/>
                <w:color w:val="16181B"/>
              </w:rPr>
              <w:t>contratti quadro nel settore sementiero</w:t>
            </w:r>
            <w:r>
              <w:rPr>
                <w:rFonts w:cstheme="minorHAnsi"/>
                <w:b/>
                <w:bCs/>
                <w:color w:val="16181B"/>
              </w:rPr>
              <w:t xml:space="preserve"> e le i</w:t>
            </w:r>
            <w:r w:rsidRPr="006514FA">
              <w:rPr>
                <w:rFonts w:cstheme="minorHAnsi"/>
                <w:b/>
                <w:bCs/>
                <w:color w:val="16181B"/>
              </w:rPr>
              <w:t xml:space="preserve">ntese di filiera </w:t>
            </w:r>
          </w:p>
          <w:p w14:paraId="0D95166D" w14:textId="77777777" w:rsidR="00BC75EA" w:rsidRPr="00A143CB" w:rsidRDefault="00BC75EA" w:rsidP="00F55008">
            <w:pPr>
              <w:adjustRightInd w:val="0"/>
              <w:rPr>
                <w:rFonts w:cstheme="minorHAnsi"/>
                <w:color w:val="16181B"/>
              </w:rPr>
            </w:pPr>
          </w:p>
        </w:tc>
      </w:tr>
    </w:tbl>
    <w:p w14:paraId="68BFBB43" w14:textId="77777777" w:rsidR="00BC75EA" w:rsidRPr="00A143CB" w:rsidRDefault="00BC75EA" w:rsidP="00BC75EA">
      <w:pPr>
        <w:adjustRightInd w:val="0"/>
        <w:spacing w:line="240" w:lineRule="auto"/>
        <w:rPr>
          <w:rFonts w:cstheme="minorHAnsi"/>
          <w:color w:val="16181B"/>
        </w:rPr>
      </w:pPr>
    </w:p>
    <w:p w14:paraId="1E7FEE9B" w14:textId="77777777" w:rsidR="00BC75EA" w:rsidRPr="00A143CB" w:rsidRDefault="00BC75EA" w:rsidP="00BC75EA">
      <w:pPr>
        <w:shd w:val="clear" w:color="auto" w:fill="FFFFFF"/>
        <w:spacing w:after="203" w:line="240" w:lineRule="auto"/>
        <w:rPr>
          <w:rFonts w:eastAsia="Times New Roman" w:cstheme="minorHAnsi"/>
          <w:color w:val="1C2024"/>
          <w:lang w:eastAsia="it-IT"/>
        </w:rPr>
      </w:pPr>
      <w:r w:rsidRPr="0021250F">
        <w:rPr>
          <w:rFonts w:cstheme="minorHAnsi"/>
          <w:b/>
          <w:bCs/>
          <w:color w:val="191E23"/>
        </w:rPr>
        <w:t xml:space="preserve">Contratto sulle sementi </w:t>
      </w:r>
      <w:r>
        <w:rPr>
          <w:rFonts w:cstheme="minorHAnsi"/>
          <w:b/>
          <w:bCs/>
          <w:color w:val="191E23"/>
        </w:rPr>
        <w:t>foraggere</w:t>
      </w:r>
    </w:p>
    <w:p w14:paraId="2CF16E0D" w14:textId="77777777" w:rsidR="00BC75EA" w:rsidRPr="0021250F" w:rsidRDefault="00BC75EA" w:rsidP="00BC75EA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A143CB">
        <w:rPr>
          <w:rFonts w:asciiTheme="minorHAnsi" w:eastAsiaTheme="minorHAnsi" w:hAnsiTheme="minorHAnsi" w:cstheme="minorHAnsi"/>
          <w:color w:val="16181B"/>
          <w:sz w:val="22"/>
          <w:szCs w:val="22"/>
          <w:lang w:eastAsia="en-US"/>
        </w:rPr>
        <w:t xml:space="preserve">La principale </w:t>
      </w:r>
      <w:r w:rsidRPr="00A143CB">
        <w:rPr>
          <w:rFonts w:asciiTheme="minorHAnsi" w:eastAsiaTheme="minorHAnsi" w:hAnsiTheme="minorHAnsi" w:cstheme="minorHAnsi"/>
          <w:b/>
          <w:bCs/>
          <w:color w:val="16181B"/>
          <w:sz w:val="22"/>
          <w:szCs w:val="22"/>
          <w:lang w:eastAsia="en-US"/>
        </w:rPr>
        <w:t>novità̀</w:t>
      </w:r>
      <w:r w:rsidRPr="00A143CB">
        <w:rPr>
          <w:rFonts w:asciiTheme="minorHAnsi" w:eastAsiaTheme="minorHAnsi" w:hAnsiTheme="minorHAnsi" w:cstheme="minorHAnsi"/>
          <w:color w:val="16181B"/>
          <w:sz w:val="22"/>
          <w:szCs w:val="22"/>
          <w:lang w:eastAsia="en-US"/>
        </w:rPr>
        <w:t xml:space="preserve"> è rappresentata dal </w:t>
      </w:r>
      <w:r w:rsidRPr="00A143CB">
        <w:rPr>
          <w:rFonts w:asciiTheme="minorHAnsi" w:eastAsiaTheme="minorHAnsi" w:hAnsiTheme="minorHAnsi" w:cstheme="minorHAnsi"/>
          <w:b/>
          <w:bCs/>
          <w:color w:val="16181B"/>
          <w:sz w:val="22"/>
          <w:szCs w:val="22"/>
          <w:lang w:eastAsia="en-US"/>
        </w:rPr>
        <w:t>prezzo orientativo</w:t>
      </w:r>
      <w:r w:rsidRPr="00A143CB">
        <w:rPr>
          <w:rFonts w:asciiTheme="minorHAnsi" w:eastAsiaTheme="minorHAnsi" w:hAnsiTheme="minorHAnsi" w:cstheme="minorHAnsi"/>
          <w:color w:val="16181B"/>
          <w:sz w:val="22"/>
          <w:szCs w:val="22"/>
          <w:lang w:eastAsia="en-US"/>
        </w:rPr>
        <w:t xml:space="preserve"> che il </w:t>
      </w:r>
      <w:r w:rsidRPr="00A143CB">
        <w:rPr>
          <w:rFonts w:asciiTheme="minorHAnsi" w:hAnsiTheme="minorHAnsi" w:cstheme="minorHAnsi"/>
          <w:bCs/>
          <w:sz w:val="22"/>
          <w:szCs w:val="22"/>
        </w:rPr>
        <w:t xml:space="preserve">Comitato economico moltiplicazione sementi foraggere dovrà stabilire ogni anno </w:t>
      </w:r>
      <w:r w:rsidRPr="00A143CB">
        <w:rPr>
          <w:rFonts w:asciiTheme="minorHAnsi" w:hAnsiTheme="minorHAnsi" w:cstheme="minorHAnsi"/>
          <w:b/>
          <w:sz w:val="22"/>
          <w:szCs w:val="22"/>
        </w:rPr>
        <w:t>entro la fine di aprile come riferimento della produzione dell’anno</w:t>
      </w:r>
      <w:r w:rsidRPr="00A143CB">
        <w:rPr>
          <w:rFonts w:asciiTheme="minorHAnsi" w:hAnsiTheme="minorHAnsi" w:cstheme="minorHAnsi"/>
          <w:bCs/>
          <w:sz w:val="22"/>
          <w:szCs w:val="22"/>
        </w:rPr>
        <w:t>. Inoltre, è previsto un meccanismo di svincolo dagli impegni assunti attraverso il contratto</w:t>
      </w:r>
      <w:r w:rsidRPr="00A143CB">
        <w:rPr>
          <w:rFonts w:asciiTheme="minorHAnsi" w:eastAsiaTheme="minorHAnsi" w:hAnsiTheme="minorHAnsi" w:cstheme="minorHAnsi"/>
          <w:color w:val="16181B"/>
          <w:sz w:val="22"/>
          <w:szCs w:val="22"/>
          <w:lang w:eastAsia="en-US"/>
        </w:rPr>
        <w:t xml:space="preserve"> con comunicazioni dirette tra gli interessati.</w:t>
      </w:r>
      <w:r>
        <w:rPr>
          <w:rFonts w:asciiTheme="minorHAnsi" w:eastAsiaTheme="minorHAnsi" w:hAnsiTheme="minorHAnsi" w:cstheme="minorHAnsi"/>
          <w:color w:val="16181B"/>
          <w:sz w:val="22"/>
          <w:szCs w:val="22"/>
          <w:lang w:eastAsia="en-US"/>
        </w:rPr>
        <w:br/>
      </w:r>
      <w:r w:rsidRPr="00A143CB">
        <w:rPr>
          <w:rFonts w:asciiTheme="minorHAnsi" w:hAnsiTheme="minorHAnsi" w:cstheme="minorHAnsi"/>
          <w:sz w:val="22"/>
          <w:szCs w:val="22"/>
        </w:rPr>
        <w:t xml:space="preserve">Il contratto conferma le modalità di definizione del prezzo base: un prezzo fisso stabilito tra le parti, un prezzo definito sulla base delle rilevazioni della Borsa Merci di Bologna e il prezzo definito dal Comitato. Per l’erba medica il sistema di pagamento prevede, al variare di alcuni parametri qualitativi e tecnici (germinabilità, impurità e grado di umidità) un margine di oscillazione del 10% in più o in meno sul prezzo </w:t>
      </w:r>
      <w:proofErr w:type="gramStart"/>
      <w:r w:rsidRPr="00A143CB">
        <w:rPr>
          <w:rFonts w:asciiTheme="minorHAnsi" w:hAnsiTheme="minorHAnsi" w:cstheme="minorHAnsi"/>
          <w:sz w:val="22"/>
          <w:szCs w:val="22"/>
        </w:rPr>
        <w:t>base .</w:t>
      </w:r>
      <w:proofErr w:type="gramEnd"/>
      <w:r w:rsidRPr="00A143CB">
        <w:rPr>
          <w:rFonts w:asciiTheme="minorHAnsi" w:hAnsiTheme="minorHAnsi" w:cstheme="minorHAnsi"/>
          <w:sz w:val="22"/>
          <w:szCs w:val="22"/>
        </w:rPr>
        <w:t xml:space="preserve"> Inoltre rimangono tali gli schemi di contratto tipo utilizzati dalle ditte sementiere per la stipula degli accordi di coltivazione con le Organizzazioni dei produttori e con le singole imprese agricole, vengono fissati tempi e modalità̀ di pagamento del prezzo, nonché́ precise garanzie sotto il profilo della sicurezza fitosanitaria.</w:t>
      </w:r>
      <w:r>
        <w:rPr>
          <w:rFonts w:asciiTheme="minorHAnsi" w:hAnsiTheme="minorHAnsi" w:cstheme="minorHAnsi"/>
          <w:sz w:val="22"/>
          <w:szCs w:val="22"/>
        </w:rPr>
        <w:br/>
      </w:r>
      <w:r w:rsidRPr="00A143CB">
        <w:rPr>
          <w:rFonts w:asciiTheme="minorHAnsi" w:hAnsiTheme="minorHAnsi" w:cstheme="minorHAnsi"/>
          <w:sz w:val="22"/>
          <w:szCs w:val="22"/>
        </w:rPr>
        <w:t>Per monitorare l’applicazione dell’accordo è operativo un </w:t>
      </w:r>
      <w:r w:rsidRPr="00A143CB">
        <w:rPr>
          <w:rFonts w:asciiTheme="minorHAnsi" w:hAnsiTheme="minorHAnsi" w:cstheme="minorHAnsi"/>
          <w:b/>
          <w:bCs/>
          <w:sz w:val="22"/>
          <w:szCs w:val="22"/>
        </w:rPr>
        <w:t xml:space="preserve">Comitato economico moltiplicazione sementi foraggere </w:t>
      </w:r>
      <w:r w:rsidRPr="00A143CB">
        <w:rPr>
          <w:rFonts w:asciiTheme="minorHAnsi" w:hAnsiTheme="minorHAnsi" w:cstheme="minorHAnsi"/>
          <w:sz w:val="22"/>
          <w:szCs w:val="22"/>
        </w:rPr>
        <w:t xml:space="preserve">in cui sono rappresentate in </w:t>
      </w:r>
      <w:r w:rsidRPr="0021250F">
        <w:rPr>
          <w:rFonts w:asciiTheme="minorHAnsi" w:hAnsiTheme="minorHAnsi" w:cstheme="minorHAnsi"/>
          <w:sz w:val="22"/>
          <w:szCs w:val="22"/>
        </w:rPr>
        <w:t>maniera paritetica la componente agricola e quella industriale.</w:t>
      </w:r>
    </w:p>
    <w:p w14:paraId="4517B5F9" w14:textId="77777777" w:rsidR="00BC75EA" w:rsidRPr="00A143CB" w:rsidRDefault="00BC75EA" w:rsidP="00BC75EA">
      <w:pPr>
        <w:pStyle w:val="NormaleWeb"/>
        <w:shd w:val="clear" w:color="auto" w:fill="FFFFFF"/>
        <w:rPr>
          <w:rFonts w:asciiTheme="minorHAnsi" w:hAnsiTheme="minorHAnsi" w:cstheme="minorHAnsi"/>
          <w:b/>
          <w:bCs/>
          <w:color w:val="191E23"/>
          <w:sz w:val="22"/>
          <w:szCs w:val="22"/>
        </w:rPr>
      </w:pPr>
      <w:r w:rsidRPr="00A143CB">
        <w:rPr>
          <w:rFonts w:asciiTheme="minorHAnsi" w:hAnsiTheme="minorHAnsi" w:cstheme="minorHAnsi"/>
          <w:b/>
          <w:bCs/>
          <w:color w:val="191E23"/>
          <w:sz w:val="22"/>
          <w:szCs w:val="22"/>
        </w:rPr>
        <w:t xml:space="preserve">Barbabietola da zucchero, valorizzazione della semente e garanzie di reddito per gli agricoltori </w:t>
      </w:r>
    </w:p>
    <w:p w14:paraId="39ACF5B6" w14:textId="77777777" w:rsidR="00BC75EA" w:rsidRPr="00A143CB" w:rsidRDefault="00BC75EA" w:rsidP="00BC75EA">
      <w:pPr>
        <w:autoSpaceDE w:val="0"/>
        <w:autoSpaceDN w:val="0"/>
        <w:adjustRightInd w:val="0"/>
        <w:spacing w:after="270" w:line="240" w:lineRule="auto"/>
        <w:rPr>
          <w:rFonts w:cstheme="minorHAnsi"/>
        </w:rPr>
      </w:pPr>
      <w:r w:rsidRPr="00A143CB">
        <w:rPr>
          <w:rFonts w:cstheme="minorHAnsi"/>
          <w:color w:val="16181B"/>
        </w:rPr>
        <w:t xml:space="preserve">Una delle principali finalità del contratto è la valorizzazione della semente certificata di </w:t>
      </w:r>
      <w:r w:rsidRPr="00A143CB">
        <w:rPr>
          <w:rFonts w:cstheme="minorHAnsi"/>
        </w:rPr>
        <w:t xml:space="preserve">barbabietola da zucchero nonché la salvaguardia della selezione e moltiplicazione di sementi attraverso l'adozione </w:t>
      </w:r>
      <w:proofErr w:type="gramStart"/>
      <w:r w:rsidRPr="00A143CB">
        <w:rPr>
          <w:rFonts w:cstheme="minorHAnsi"/>
        </w:rPr>
        <w:t>degli  strumenti</w:t>
      </w:r>
      <w:proofErr w:type="gramEnd"/>
      <w:r w:rsidRPr="00A143CB">
        <w:rPr>
          <w:rFonts w:cstheme="minorHAnsi"/>
        </w:rPr>
        <w:t xml:space="preserve"> contrattuali per  garantire la qualità del prodotto e dare garanzie alle aziende sementiere e agli agricoltori-moltiplicatori. </w:t>
      </w:r>
      <w:r w:rsidRPr="0021250F">
        <w:rPr>
          <w:rFonts w:cstheme="minorHAnsi"/>
          <w:color w:val="16181B"/>
        </w:rPr>
        <w:t xml:space="preserve">Sono confermati gli accordi per </w:t>
      </w:r>
      <w:r w:rsidRPr="0021250F">
        <w:rPr>
          <w:rFonts w:cstheme="minorHAnsi"/>
        </w:rPr>
        <w:t xml:space="preserve">una soddisfacente remunerazione della professionalità degli </w:t>
      </w:r>
      <w:proofErr w:type="spellStart"/>
      <w:r w:rsidRPr="0021250F">
        <w:rPr>
          <w:rFonts w:cstheme="minorHAnsi"/>
        </w:rPr>
        <w:t>agricoltori­moltiplicatori</w:t>
      </w:r>
      <w:proofErr w:type="spellEnd"/>
      <w:r w:rsidRPr="0021250F">
        <w:rPr>
          <w:rFonts w:cstheme="minorHAnsi"/>
        </w:rPr>
        <w:t xml:space="preserve"> e il ruolo centrale del </w:t>
      </w:r>
      <w:r w:rsidRPr="0021250F">
        <w:rPr>
          <w:rFonts w:cstheme="minorHAnsi"/>
          <w:b/>
        </w:rPr>
        <w:t>Comitato Tecnico Interprofessionale sementi barbabietola da zucchero,</w:t>
      </w:r>
      <w:r w:rsidRPr="0021250F">
        <w:rPr>
          <w:rFonts w:cstheme="minorHAnsi"/>
        </w:rPr>
        <w:t xml:space="preserve"> in particolare per il monitoraggio di eventuali criticità tecniche, fitosanitarie e organizzative.</w:t>
      </w:r>
      <w:r>
        <w:rPr>
          <w:rFonts w:cstheme="minorHAnsi"/>
        </w:rPr>
        <w:br/>
      </w:r>
      <w:r w:rsidRPr="00A143CB">
        <w:rPr>
          <w:rFonts w:cstheme="minorHAnsi"/>
        </w:rPr>
        <w:t>La moltiplicazione di questa semente rappresenta una quota importante della produzione lorda vendibile delle aziende agricole interessate alla sua coltivazione.</w:t>
      </w:r>
      <w:r w:rsidRPr="00A143CB">
        <w:rPr>
          <w:rFonts w:cstheme="minorHAnsi"/>
          <w:color w:val="16181B"/>
        </w:rPr>
        <w:t xml:space="preserve"> Gli agricoltori nel tempo hanno acquisito una grande professionalità nella moltiplicazione della semente che garantisce a queste aziende agricole di trarre da questa coltura una quota importante della sua redditività. </w:t>
      </w:r>
    </w:p>
    <w:p w14:paraId="3B5B224E" w14:textId="77777777" w:rsidR="00BC75EA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6181B"/>
        </w:rPr>
      </w:pPr>
      <w:r w:rsidRPr="00B16752">
        <w:rPr>
          <w:rFonts w:cstheme="minorHAnsi"/>
          <w:b/>
          <w:bCs/>
          <w:color w:val="16181B"/>
        </w:rPr>
        <w:t>Le intese di filiera</w:t>
      </w:r>
    </w:p>
    <w:p w14:paraId="323FE659" w14:textId="77777777" w:rsidR="00BC75EA" w:rsidRPr="00B16752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6181B"/>
        </w:rPr>
      </w:pPr>
    </w:p>
    <w:p w14:paraId="5874C045" w14:textId="77777777" w:rsidR="00BC75EA" w:rsidRPr="00A143CB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 xml:space="preserve">La Regione Emilia-Romagna da tempo promuove l’utilizzo di strumenti di programmazione della produzione attraverso varie forme di contrattazione collettiva che assumono un importante significato di coordinamento e integrazione tra i soggetti delle filiere agroalimentari.  Per sostenere questo settore, a partire dal 2012, la Regione Emilia-Romagna ha promosso la sottoscrizione di un’intesa di filiera, condivisa dalle Organizzazioni professionali agricole regionali e dalle Organizzazioni cooperative, sottoscritta da </w:t>
      </w:r>
      <w:proofErr w:type="spellStart"/>
      <w:r w:rsidRPr="00A143CB">
        <w:rPr>
          <w:rFonts w:cstheme="minorHAnsi"/>
          <w:color w:val="16181B"/>
        </w:rPr>
        <w:t>Assosementi</w:t>
      </w:r>
      <w:proofErr w:type="spellEnd"/>
      <w:r w:rsidRPr="00A143CB">
        <w:rPr>
          <w:rFonts w:cstheme="minorHAnsi"/>
          <w:color w:val="16181B"/>
        </w:rPr>
        <w:t xml:space="preserve"> in rappresentanza delle ditte sementiere e da </w:t>
      </w:r>
      <w:proofErr w:type="spellStart"/>
      <w:r w:rsidRPr="00A143CB">
        <w:rPr>
          <w:rFonts w:cstheme="minorHAnsi"/>
          <w:color w:val="16181B"/>
        </w:rPr>
        <w:t>C</w:t>
      </w:r>
      <w:r>
        <w:rPr>
          <w:rFonts w:cstheme="minorHAnsi"/>
          <w:color w:val="16181B"/>
        </w:rPr>
        <w:t>oams</w:t>
      </w:r>
      <w:proofErr w:type="spellEnd"/>
      <w:r w:rsidRPr="00A143CB">
        <w:rPr>
          <w:rFonts w:cstheme="minorHAnsi"/>
          <w:color w:val="16181B"/>
        </w:rPr>
        <w:t xml:space="preserve"> per le diverse organizzazioni di produttori del settore. Nella primavera del 2013 grazie a un lavoro congiunto tra Regione e Ministero, l’intesa è stata sottoscritta da tutti gli operatori della filiera nazionale.</w:t>
      </w:r>
    </w:p>
    <w:p w14:paraId="1200EC0A" w14:textId="77777777" w:rsidR="00BC75EA" w:rsidRPr="00A143CB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 xml:space="preserve">L’intesa di filiera per il settore sementiero ha una funzione di quadro strategico delle relazioni, e si propone di creare sinergie tra le aziende sementiere e gli agricoltori moltiplicatori nel processo di programmazione e qualificazione della produzione delle sementi, in funzione degli obiettivi di mercato del prodotto finale. Si è inteso promuovere la predisposizione di modelli contrattuali e disciplinari di produzione specifici, agevolare la sottoscrizione di contratti quadro per tipologia di produzione che consentano al settore sementiero di </w:t>
      </w:r>
      <w:r w:rsidRPr="00A143CB">
        <w:rPr>
          <w:rFonts w:cstheme="minorHAnsi"/>
          <w:color w:val="16181B"/>
        </w:rPr>
        <w:lastRenderedPageBreak/>
        <w:t xml:space="preserve">mantenere e incrementare la competitività nei vari comparti, in particolare cerealicolo, orticolo, bieticolo, oleaginoso e foraggero, favorendo un’equa distribuzione del valore tra i soggetti della filiera. </w:t>
      </w:r>
    </w:p>
    <w:p w14:paraId="486BEE5C" w14:textId="77777777" w:rsidR="00BC75EA" w:rsidRPr="00A143CB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 xml:space="preserve">Nel dicembre del </w:t>
      </w:r>
      <w:r w:rsidRPr="00A143CB">
        <w:rPr>
          <w:rFonts w:cstheme="minorHAnsi"/>
          <w:b/>
          <w:bCs/>
          <w:color w:val="16181B"/>
        </w:rPr>
        <w:t>2013</w:t>
      </w:r>
      <w:r w:rsidRPr="00A143CB">
        <w:rPr>
          <w:rFonts w:cstheme="minorHAnsi"/>
          <w:color w:val="16181B"/>
        </w:rPr>
        <w:t xml:space="preserve"> è stato sottoscritto il </w:t>
      </w:r>
      <w:r w:rsidRPr="00A143CB">
        <w:rPr>
          <w:rFonts w:cstheme="minorHAnsi"/>
          <w:b/>
          <w:bCs/>
          <w:color w:val="16181B"/>
        </w:rPr>
        <w:t>“</w:t>
      </w:r>
      <w:bookmarkStart w:id="0" w:name="_Hlk124326916"/>
      <w:r w:rsidRPr="00A143CB">
        <w:rPr>
          <w:rFonts w:cstheme="minorHAnsi"/>
          <w:b/>
          <w:bCs/>
          <w:color w:val="16181B"/>
        </w:rPr>
        <w:t>Contratto quadro nazionale per la moltiplicazione delle sementi foraggere</w:t>
      </w:r>
      <w:bookmarkEnd w:id="0"/>
      <w:r w:rsidRPr="00A143CB">
        <w:rPr>
          <w:rFonts w:cstheme="minorHAnsi"/>
          <w:b/>
          <w:bCs/>
          <w:color w:val="16181B"/>
        </w:rPr>
        <w:t>”</w:t>
      </w:r>
      <w:r w:rsidRPr="00A143CB">
        <w:rPr>
          <w:rFonts w:cstheme="minorHAnsi"/>
          <w:color w:val="16181B"/>
        </w:rPr>
        <w:t xml:space="preserve"> che rappresenta la prima applicazione dell’intesa ad uno specifico comparto. Il contratto sottoscritto da </w:t>
      </w:r>
      <w:proofErr w:type="spellStart"/>
      <w:r w:rsidRPr="00A143CB">
        <w:rPr>
          <w:rFonts w:cstheme="minorHAnsi"/>
          <w:color w:val="16181B"/>
        </w:rPr>
        <w:t>Assosementi</w:t>
      </w:r>
      <w:proofErr w:type="spellEnd"/>
      <w:r w:rsidRPr="00A143CB">
        <w:rPr>
          <w:rFonts w:cstheme="minorHAnsi"/>
          <w:color w:val="16181B"/>
        </w:rPr>
        <w:t xml:space="preserve"> per le aziende sementiere e da C.O.A.M.S. per la parte agricola regola la moltiplicazione di tutte le sementi foraggere prodotte sul territorio nazionale nel triennio 2014 – 2016 è stato rinnovato per le campagne successive.</w:t>
      </w:r>
    </w:p>
    <w:p w14:paraId="6FA41822" w14:textId="77777777" w:rsidR="00BC75EA" w:rsidRPr="00A143CB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 xml:space="preserve">Nell’ottobre del </w:t>
      </w:r>
      <w:r w:rsidRPr="00A143CB">
        <w:rPr>
          <w:rFonts w:cstheme="minorHAnsi"/>
          <w:b/>
          <w:bCs/>
          <w:color w:val="16181B"/>
        </w:rPr>
        <w:t>2014</w:t>
      </w:r>
      <w:r w:rsidRPr="00A143CB">
        <w:rPr>
          <w:rFonts w:cstheme="minorHAnsi"/>
          <w:color w:val="16181B"/>
        </w:rPr>
        <w:t xml:space="preserve"> è stato sottoscritto anche il </w:t>
      </w:r>
      <w:r w:rsidRPr="00A143CB">
        <w:rPr>
          <w:rFonts w:cstheme="minorHAnsi"/>
          <w:b/>
          <w:bCs/>
          <w:color w:val="16181B"/>
        </w:rPr>
        <w:t xml:space="preserve">“Contratto quadro nazionale per la moltiplicazione delle sementi di barbabietola da zucchero”, </w:t>
      </w:r>
      <w:r w:rsidRPr="00A143CB">
        <w:rPr>
          <w:rFonts w:cstheme="minorHAnsi"/>
          <w:color w:val="16181B"/>
        </w:rPr>
        <w:t>valido per le campagne 2015 - 2017, anch’esso aggiornato per le campagne successive.</w:t>
      </w:r>
    </w:p>
    <w:p w14:paraId="053ED2F5" w14:textId="77777777" w:rsidR="00BC75EA" w:rsidRPr="00A143CB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>Entrambi i contratti quadro sono stati sottoscritti presso la Regione Emilia-Romagna che li ha poi trasmessi al Ministero per la loro valutazione di conformità alla norma. In seguito al positivo riscontro gli stessi sono stati pubblicati sul proprio sito istituzionale.</w:t>
      </w:r>
    </w:p>
    <w:p w14:paraId="562FA531" w14:textId="77777777" w:rsidR="00BC75EA" w:rsidRPr="00A143CB" w:rsidRDefault="00BC75EA" w:rsidP="00BC75EA">
      <w:pPr>
        <w:autoSpaceDE w:val="0"/>
        <w:autoSpaceDN w:val="0"/>
        <w:adjustRightInd w:val="0"/>
        <w:spacing w:after="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>I contratti specificano inoltre garanzie sotto il profilo della sicurezza fitosanitaria, tempi e modalità di pagamento, attività di assistenza tecnica e contrattuale. È inoltre prevista la costituzione di comitati tecnici di carattere interprofessionale per il monitoraggio sull’applicazione dei contratti e confronto sulle tematiche di settore.</w:t>
      </w:r>
    </w:p>
    <w:p w14:paraId="7CE13EBC" w14:textId="77777777" w:rsidR="00BC75EA" w:rsidRPr="00A143CB" w:rsidRDefault="00BC75EA" w:rsidP="00BC75EA">
      <w:pPr>
        <w:spacing w:before="60" w:line="240" w:lineRule="auto"/>
        <w:rPr>
          <w:rFonts w:cstheme="minorHAnsi"/>
          <w:color w:val="16181B"/>
        </w:rPr>
      </w:pPr>
      <w:r w:rsidRPr="00A143CB">
        <w:rPr>
          <w:rFonts w:cstheme="minorHAnsi"/>
          <w:color w:val="16181B"/>
        </w:rPr>
        <w:t xml:space="preserve">Negli anni è stato constatato che lo sviluppo di un contratto quadro permette alle parti interessate di attivare un confronto preventivo sulle potenzialità di produzione e gli sbocchi commerciali del prodotto, di definire le prescrizioni necessarie per adeguare le caratteristiche qualitative e i servizi logistici offerti, tenendo conto delle richieste del mercato. Questi processi condivisi attivano delle relazioni positive fra i soggetti contraenti, nell’ottica di riequilibrare i rapporti di forza all’interno della filiera. La definizione dei criteri necessari alla diversificazione del prezzo, in particolare premi-qualità, penalizzazioni, modalità di pagamento, in relazione al processo produttivo applicato e alle caratteristiche qualitative del prodotto, permette poi di stabilire meccanismi di determinazione del prezzo trasparenti e controllabili. </w:t>
      </w:r>
    </w:p>
    <w:p w14:paraId="6830AEC0" w14:textId="77777777" w:rsidR="00BC75EA" w:rsidRPr="00A143CB" w:rsidRDefault="00BC75EA" w:rsidP="00BC75EA">
      <w:pPr>
        <w:shd w:val="clear" w:color="auto" w:fill="FFFFFF"/>
        <w:spacing w:after="203" w:line="240" w:lineRule="auto"/>
        <w:rPr>
          <w:rFonts w:cstheme="minorHAnsi"/>
          <w:color w:val="16181B"/>
        </w:rPr>
      </w:pPr>
    </w:p>
    <w:p w14:paraId="2EACF0B7" w14:textId="77777777" w:rsidR="00BC75EA" w:rsidRPr="00A143CB" w:rsidRDefault="00BC75EA" w:rsidP="00BC75EA">
      <w:pPr>
        <w:shd w:val="clear" w:color="auto" w:fill="FFFFFF"/>
        <w:spacing w:after="203" w:line="240" w:lineRule="auto"/>
        <w:rPr>
          <w:rFonts w:cstheme="minorHAnsi"/>
          <w:color w:val="16181B"/>
        </w:rPr>
      </w:pPr>
    </w:p>
    <w:p w14:paraId="25B9771F" w14:textId="77777777" w:rsidR="008305DD" w:rsidRDefault="008305DD"/>
    <w:sectPr w:rsidR="008305DD" w:rsidSect="006514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EA"/>
    <w:rsid w:val="008305DD"/>
    <w:rsid w:val="00B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FB79"/>
  <w15:chartTrackingRefBased/>
  <w15:docId w15:val="{0CCDCCBC-F3E5-40C0-9CB7-84E01A38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C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C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1</cp:revision>
  <dcterms:created xsi:type="dcterms:W3CDTF">2023-02-06T10:04:00Z</dcterms:created>
  <dcterms:modified xsi:type="dcterms:W3CDTF">2023-02-06T10:05:00Z</dcterms:modified>
</cp:coreProperties>
</file>